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9B24B8" w14:textId="77777777" w:rsidR="009C3F8D" w:rsidRPr="009C3F8D" w:rsidRDefault="009C3F8D" w:rsidP="007D3D35">
      <w:pPr>
        <w:rPr>
          <w:rFonts w:hAnsi="Calibri"/>
          <w:color w:val="000000" w:themeColor="text1"/>
          <w:kern w:val="24"/>
          <w:sz w:val="28"/>
          <w:szCs w:val="28"/>
        </w:rPr>
      </w:pPr>
      <w:r w:rsidRPr="009C3F8D">
        <w:rPr>
          <w:rFonts w:hAnsi="Calibri"/>
          <w:color w:val="000000" w:themeColor="text1"/>
          <w:kern w:val="24"/>
          <w:sz w:val="28"/>
          <w:szCs w:val="28"/>
        </w:rPr>
        <w:t>References</w:t>
      </w:r>
    </w:p>
    <w:p w14:paraId="643B3495" w14:textId="7E32DC35" w:rsidR="007D3D35" w:rsidRDefault="007D3D35" w:rsidP="007D3D35">
      <w:pPr>
        <w:rPr>
          <w:rFonts w:hAnsi="Calibri"/>
          <w:color w:val="000000" w:themeColor="text1"/>
          <w:kern w:val="24"/>
          <w:sz w:val="28"/>
          <w:szCs w:val="28"/>
        </w:rPr>
      </w:pPr>
      <w:r w:rsidRPr="009C3F8D">
        <w:rPr>
          <w:rFonts w:hAnsi="Calibri"/>
          <w:color w:val="000000" w:themeColor="text1"/>
          <w:kern w:val="24"/>
          <w:sz w:val="28"/>
          <w:szCs w:val="28"/>
        </w:rPr>
        <w:t xml:space="preserve">[1] Falcone, J.A., 2021, Estimates of county-level nitrogen and phosphorus from fertilizer and manure from 1950 through 2017 in the conterminous United States: U.S. Geological Survey Open-File Report 2020–1153, 20 p., </w:t>
      </w:r>
      <w:hyperlink r:id="rId4" w:history="1">
        <w:r w:rsidR="00CE4F1F" w:rsidRPr="00D74982">
          <w:rPr>
            <w:rStyle w:val="Hyperlink"/>
            <w:rFonts w:hAnsi="Calibri"/>
            <w:kern w:val="24"/>
            <w:sz w:val="28"/>
            <w:szCs w:val="28"/>
          </w:rPr>
          <w:t>https://doi.org/10.3133/ofr20201153</w:t>
        </w:r>
      </w:hyperlink>
      <w:r w:rsidRPr="009C3F8D">
        <w:rPr>
          <w:rFonts w:hAnsi="Calibri"/>
          <w:color w:val="000000" w:themeColor="text1"/>
          <w:kern w:val="24"/>
          <w:sz w:val="28"/>
          <w:szCs w:val="28"/>
        </w:rPr>
        <w:t>.</w:t>
      </w:r>
    </w:p>
    <w:p w14:paraId="4D24E7A8" w14:textId="76895C79" w:rsidR="00CE4F1F" w:rsidRDefault="00CE4F1F" w:rsidP="007D3D35">
      <w:pPr>
        <w:rPr>
          <w:rFonts w:hAnsi="Calibri"/>
          <w:color w:val="000000" w:themeColor="text1"/>
          <w:kern w:val="24"/>
          <w:sz w:val="28"/>
          <w:szCs w:val="28"/>
        </w:rPr>
      </w:pPr>
      <w:r>
        <w:rPr>
          <w:rFonts w:hAnsi="Calibri"/>
          <w:color w:val="000000" w:themeColor="text1"/>
          <w:kern w:val="24"/>
          <w:sz w:val="28"/>
          <w:szCs w:val="28"/>
        </w:rPr>
        <w:t xml:space="preserve">[2] </w:t>
      </w:r>
      <w:hyperlink r:id="rId5" w:history="1">
        <w:r w:rsidR="0019622A" w:rsidRPr="00D74982">
          <w:rPr>
            <w:rStyle w:val="Hyperlink"/>
            <w:rFonts w:hAnsi="Calibri"/>
            <w:kern w:val="24"/>
            <w:sz w:val="28"/>
            <w:szCs w:val="28"/>
          </w:rPr>
          <w:t>https://www.epa.gov/nutrientpollution/commercial-fertilizer-purchased</w:t>
        </w:r>
      </w:hyperlink>
      <w:r w:rsidR="0019622A">
        <w:rPr>
          <w:rFonts w:hAnsi="Calibri"/>
          <w:color w:val="000000" w:themeColor="text1"/>
          <w:kern w:val="24"/>
          <w:sz w:val="28"/>
          <w:szCs w:val="28"/>
        </w:rPr>
        <w:t xml:space="preserve"> </w:t>
      </w:r>
    </w:p>
    <w:p w14:paraId="6FE4D402" w14:textId="3AAEA7FB" w:rsidR="00CE4F1F" w:rsidRPr="009C3F8D" w:rsidRDefault="00CE4F1F" w:rsidP="007D3D35">
      <w:pPr>
        <w:rPr>
          <w:rFonts w:hAnsi="Calibri"/>
          <w:color w:val="000000" w:themeColor="text1"/>
          <w:kern w:val="24"/>
          <w:sz w:val="28"/>
          <w:szCs w:val="28"/>
        </w:rPr>
      </w:pPr>
      <w:r>
        <w:rPr>
          <w:rFonts w:hAnsi="Calibri"/>
          <w:color w:val="000000" w:themeColor="text1"/>
          <w:kern w:val="24"/>
          <w:sz w:val="28"/>
          <w:szCs w:val="28"/>
        </w:rPr>
        <w:t xml:space="preserve">[3] </w:t>
      </w:r>
      <w:r w:rsidRPr="00CE4F1F">
        <w:rPr>
          <w:rFonts w:hAnsi="Calibri"/>
          <w:color w:val="000000" w:themeColor="text1"/>
          <w:kern w:val="24"/>
          <w:sz w:val="28"/>
          <w:szCs w:val="28"/>
        </w:rPr>
        <w:t>Commercial Fertilizers annual data, 2022 report, maintained by The Association of American Plant Food Control Officials, Inc. for the Fertilizer Institute.</w:t>
      </w:r>
    </w:p>
    <w:p w14:paraId="4E5D36AF" w14:textId="3A248B15" w:rsidR="007D3D35" w:rsidRPr="009C3F8D" w:rsidRDefault="007D3D35" w:rsidP="007D3D35">
      <w:pPr>
        <w:rPr>
          <w:rFonts w:hAnsi="Calibri"/>
          <w:color w:val="000000" w:themeColor="text1"/>
          <w:kern w:val="24"/>
          <w:sz w:val="28"/>
          <w:szCs w:val="28"/>
        </w:rPr>
      </w:pPr>
      <w:r w:rsidRPr="009C3F8D">
        <w:rPr>
          <w:rFonts w:hAnsi="Calibri"/>
          <w:color w:val="000000" w:themeColor="text1"/>
          <w:kern w:val="24"/>
          <w:sz w:val="28"/>
          <w:szCs w:val="28"/>
        </w:rPr>
        <w:t>[</w:t>
      </w:r>
      <w:r w:rsidR="00CE4F1F">
        <w:rPr>
          <w:rFonts w:hAnsi="Calibri"/>
          <w:color w:val="000000" w:themeColor="text1"/>
          <w:kern w:val="24"/>
          <w:sz w:val="28"/>
          <w:szCs w:val="28"/>
        </w:rPr>
        <w:t>4</w:t>
      </w:r>
      <w:r w:rsidRPr="009C3F8D">
        <w:rPr>
          <w:rFonts w:hAnsi="Calibri"/>
          <w:color w:val="000000" w:themeColor="text1"/>
          <w:kern w:val="24"/>
          <w:sz w:val="28"/>
          <w:szCs w:val="28"/>
        </w:rPr>
        <w:t>] Hong, B., Swaney, D.P. and Howarth, R.W., 2011. A toolbox for calculating net anthropogenic nitrogen inputs (NANI). Environmental Modelling &amp; Software, 26(5), pp.623-633.</w:t>
      </w:r>
    </w:p>
    <w:p w14:paraId="6907A965" w14:textId="241BCA29" w:rsidR="007D3D35" w:rsidRPr="009C3F8D" w:rsidRDefault="007D3D35" w:rsidP="007D3D35">
      <w:pPr>
        <w:rPr>
          <w:rFonts w:hAnsi="Calibri"/>
          <w:color w:val="000000" w:themeColor="text1"/>
          <w:kern w:val="24"/>
          <w:sz w:val="28"/>
          <w:szCs w:val="28"/>
        </w:rPr>
      </w:pPr>
      <w:r w:rsidRPr="009C3F8D">
        <w:rPr>
          <w:rFonts w:hAnsi="Calibri"/>
          <w:color w:val="000000" w:themeColor="text1"/>
          <w:kern w:val="24"/>
          <w:sz w:val="28"/>
          <w:szCs w:val="28"/>
        </w:rPr>
        <w:t>[</w:t>
      </w:r>
      <w:r w:rsidR="00CE4F1F">
        <w:rPr>
          <w:rFonts w:hAnsi="Calibri"/>
          <w:color w:val="000000" w:themeColor="text1"/>
          <w:kern w:val="24"/>
          <w:sz w:val="28"/>
          <w:szCs w:val="28"/>
        </w:rPr>
        <w:t>5</w:t>
      </w:r>
      <w:r w:rsidRPr="009C3F8D">
        <w:rPr>
          <w:rFonts w:hAnsi="Calibri"/>
          <w:color w:val="000000" w:themeColor="text1"/>
          <w:kern w:val="24"/>
          <w:sz w:val="28"/>
          <w:szCs w:val="28"/>
        </w:rPr>
        <w:t>] Hong, B., Swaney, D.P. and Howarth, R.W., 2013. Estimating net anthropogenic nitrogen inputs to US watersheds: comparison of methodologies. Env. Science &amp; Tech., 47(10), pp.5199-5207.</w:t>
      </w:r>
    </w:p>
    <w:p w14:paraId="65FA6F04" w14:textId="50FA000E" w:rsidR="007D3D35" w:rsidRPr="009C3F8D" w:rsidRDefault="007D3D35" w:rsidP="007D3D35">
      <w:pPr>
        <w:rPr>
          <w:rFonts w:hAnsi="Calibri"/>
          <w:color w:val="000000" w:themeColor="text1"/>
          <w:kern w:val="24"/>
          <w:sz w:val="28"/>
          <w:szCs w:val="28"/>
        </w:rPr>
      </w:pPr>
      <w:r w:rsidRPr="009C3F8D">
        <w:rPr>
          <w:rFonts w:hAnsi="Calibri"/>
          <w:color w:val="000000" w:themeColor="text1"/>
          <w:kern w:val="24"/>
          <w:sz w:val="28"/>
          <w:szCs w:val="28"/>
        </w:rPr>
        <w:t>[</w:t>
      </w:r>
      <w:r w:rsidR="00CE4F1F">
        <w:rPr>
          <w:rFonts w:hAnsi="Calibri"/>
          <w:color w:val="000000" w:themeColor="text1"/>
          <w:kern w:val="24"/>
          <w:sz w:val="28"/>
          <w:szCs w:val="28"/>
        </w:rPr>
        <w:t>6</w:t>
      </w:r>
      <w:r w:rsidRPr="009C3F8D">
        <w:rPr>
          <w:rFonts w:hAnsi="Calibri"/>
          <w:color w:val="000000" w:themeColor="text1"/>
          <w:kern w:val="24"/>
          <w:sz w:val="28"/>
          <w:szCs w:val="28"/>
        </w:rPr>
        <w:t>] Howarth, R.W., Chan, F., Swaney, D.P., Marino, R.M. and Hayn, M., 2021. Role of external inputs of nutrients to aquatic ecosystems in determining prevalence of nitrogen vs. phosphorus limitation of net primary productivity. Biogeochemistry, pp.1-14. https://doi.org/10.1007/s10533-021-00765-z</w:t>
      </w:r>
    </w:p>
    <w:p w14:paraId="3766FCFA" w14:textId="134F1851" w:rsidR="007D3D35" w:rsidRPr="009C3F8D" w:rsidRDefault="007D3D35" w:rsidP="007D3D35">
      <w:pPr>
        <w:rPr>
          <w:rFonts w:hAnsi="Calibri"/>
          <w:color w:val="000000" w:themeColor="text1"/>
          <w:kern w:val="24"/>
          <w:sz w:val="28"/>
          <w:szCs w:val="28"/>
        </w:rPr>
      </w:pPr>
      <w:r w:rsidRPr="009C3F8D">
        <w:rPr>
          <w:rFonts w:hAnsi="Calibri"/>
          <w:color w:val="000000" w:themeColor="text1"/>
          <w:kern w:val="24"/>
          <w:sz w:val="28"/>
          <w:szCs w:val="28"/>
        </w:rPr>
        <w:t>[</w:t>
      </w:r>
      <w:r w:rsidR="00027FE4">
        <w:rPr>
          <w:rFonts w:hAnsi="Calibri"/>
          <w:color w:val="000000" w:themeColor="text1"/>
          <w:kern w:val="24"/>
          <w:sz w:val="28"/>
          <w:szCs w:val="28"/>
        </w:rPr>
        <w:t>7</w:t>
      </w:r>
      <w:r w:rsidRPr="009C3F8D">
        <w:rPr>
          <w:rFonts w:hAnsi="Calibri"/>
          <w:color w:val="000000" w:themeColor="text1"/>
          <w:kern w:val="24"/>
          <w:sz w:val="28"/>
          <w:szCs w:val="28"/>
        </w:rPr>
        <w:t xml:space="preserve">] Howarth, R.W., G. </w:t>
      </w:r>
      <w:proofErr w:type="spellStart"/>
      <w:r w:rsidRPr="009C3F8D">
        <w:rPr>
          <w:rFonts w:hAnsi="Calibri"/>
          <w:color w:val="000000" w:themeColor="text1"/>
          <w:kern w:val="24"/>
          <w:sz w:val="28"/>
          <w:szCs w:val="28"/>
        </w:rPr>
        <w:t>Billen</w:t>
      </w:r>
      <w:proofErr w:type="spellEnd"/>
      <w:r w:rsidRPr="009C3F8D">
        <w:rPr>
          <w:rFonts w:hAnsi="Calibri"/>
          <w:color w:val="000000" w:themeColor="text1"/>
          <w:kern w:val="24"/>
          <w:sz w:val="28"/>
          <w:szCs w:val="28"/>
        </w:rPr>
        <w:t xml:space="preserve">, D. P. Swaney, A. Townsend, N. Jaworski, K. </w:t>
      </w:r>
      <w:proofErr w:type="spellStart"/>
      <w:r w:rsidRPr="009C3F8D">
        <w:rPr>
          <w:rFonts w:hAnsi="Calibri"/>
          <w:color w:val="000000" w:themeColor="text1"/>
          <w:kern w:val="24"/>
          <w:sz w:val="28"/>
          <w:szCs w:val="28"/>
        </w:rPr>
        <w:t>Lajtha</w:t>
      </w:r>
      <w:proofErr w:type="spellEnd"/>
      <w:r w:rsidRPr="009C3F8D">
        <w:rPr>
          <w:rFonts w:hAnsi="Calibri"/>
          <w:color w:val="000000" w:themeColor="text1"/>
          <w:kern w:val="24"/>
          <w:sz w:val="28"/>
          <w:szCs w:val="28"/>
        </w:rPr>
        <w:t xml:space="preserve">, J. A. Downing, R. </w:t>
      </w:r>
      <w:proofErr w:type="spellStart"/>
      <w:r w:rsidRPr="009C3F8D">
        <w:rPr>
          <w:rFonts w:hAnsi="Calibri"/>
          <w:color w:val="000000" w:themeColor="text1"/>
          <w:kern w:val="24"/>
          <w:sz w:val="28"/>
          <w:szCs w:val="28"/>
        </w:rPr>
        <w:t>Elmgren</w:t>
      </w:r>
      <w:proofErr w:type="spellEnd"/>
      <w:r w:rsidRPr="009C3F8D">
        <w:rPr>
          <w:rFonts w:hAnsi="Calibri"/>
          <w:color w:val="000000" w:themeColor="text1"/>
          <w:kern w:val="24"/>
          <w:sz w:val="28"/>
          <w:szCs w:val="28"/>
        </w:rPr>
        <w:t xml:space="preserve">, N. Caraco, T. Jordan, F. </w:t>
      </w:r>
      <w:proofErr w:type="spellStart"/>
      <w:r w:rsidRPr="009C3F8D">
        <w:rPr>
          <w:rFonts w:hAnsi="Calibri"/>
          <w:color w:val="000000" w:themeColor="text1"/>
          <w:kern w:val="24"/>
          <w:sz w:val="28"/>
          <w:szCs w:val="28"/>
        </w:rPr>
        <w:t>Berendse</w:t>
      </w:r>
      <w:proofErr w:type="spellEnd"/>
      <w:r w:rsidRPr="009C3F8D">
        <w:rPr>
          <w:rFonts w:hAnsi="Calibri"/>
          <w:color w:val="000000" w:themeColor="text1"/>
          <w:kern w:val="24"/>
          <w:sz w:val="28"/>
          <w:szCs w:val="28"/>
        </w:rPr>
        <w:t xml:space="preserve">, J. </w:t>
      </w:r>
      <w:proofErr w:type="spellStart"/>
      <w:r w:rsidRPr="009C3F8D">
        <w:rPr>
          <w:rFonts w:hAnsi="Calibri"/>
          <w:color w:val="000000" w:themeColor="text1"/>
          <w:kern w:val="24"/>
          <w:sz w:val="28"/>
          <w:szCs w:val="28"/>
        </w:rPr>
        <w:t>Freney</w:t>
      </w:r>
      <w:proofErr w:type="spellEnd"/>
      <w:r w:rsidRPr="009C3F8D">
        <w:rPr>
          <w:rFonts w:hAnsi="Calibri"/>
          <w:color w:val="000000" w:themeColor="text1"/>
          <w:kern w:val="24"/>
          <w:sz w:val="28"/>
          <w:szCs w:val="28"/>
        </w:rPr>
        <w:t xml:space="preserve">, V. </w:t>
      </w:r>
      <w:proofErr w:type="spellStart"/>
      <w:r w:rsidRPr="009C3F8D">
        <w:rPr>
          <w:rFonts w:hAnsi="Calibri"/>
          <w:color w:val="000000" w:themeColor="text1"/>
          <w:kern w:val="24"/>
          <w:sz w:val="28"/>
          <w:szCs w:val="28"/>
        </w:rPr>
        <w:t>Kudeyarov</w:t>
      </w:r>
      <w:proofErr w:type="spellEnd"/>
      <w:r w:rsidRPr="009C3F8D">
        <w:rPr>
          <w:rFonts w:hAnsi="Calibri"/>
          <w:color w:val="000000" w:themeColor="text1"/>
          <w:kern w:val="24"/>
          <w:sz w:val="28"/>
          <w:szCs w:val="28"/>
        </w:rPr>
        <w:t>, P. Murdoch, Zhu Zhao-liang. 1996. Riverine Inputs of Nitrogen to the North Atlantic Ocean:  Fluxes and Human Influences.  Biogeochemistry, 35:75-139</w:t>
      </w:r>
    </w:p>
    <w:p w14:paraId="3474FA2D" w14:textId="180A6E42" w:rsidR="007D3D35" w:rsidRPr="009C3F8D" w:rsidRDefault="007D3D35" w:rsidP="007D3D35">
      <w:pPr>
        <w:rPr>
          <w:rFonts w:hAnsi="Calibri"/>
          <w:color w:val="000000" w:themeColor="text1"/>
          <w:kern w:val="24"/>
          <w:sz w:val="28"/>
          <w:szCs w:val="28"/>
        </w:rPr>
      </w:pPr>
      <w:r w:rsidRPr="009C3F8D">
        <w:rPr>
          <w:rFonts w:hAnsi="Calibri"/>
          <w:color w:val="000000" w:themeColor="text1"/>
          <w:kern w:val="24"/>
          <w:sz w:val="28"/>
          <w:szCs w:val="28"/>
        </w:rPr>
        <w:t>[</w:t>
      </w:r>
      <w:r w:rsidR="00027FE4">
        <w:rPr>
          <w:rFonts w:hAnsi="Calibri"/>
          <w:color w:val="000000" w:themeColor="text1"/>
          <w:kern w:val="24"/>
          <w:sz w:val="28"/>
          <w:szCs w:val="28"/>
        </w:rPr>
        <w:t>8</w:t>
      </w:r>
      <w:r w:rsidRPr="009C3F8D">
        <w:rPr>
          <w:rFonts w:hAnsi="Calibri"/>
          <w:color w:val="000000" w:themeColor="text1"/>
          <w:kern w:val="24"/>
          <w:sz w:val="28"/>
          <w:szCs w:val="28"/>
        </w:rPr>
        <w:t xml:space="preserve">] Howarth, R.W., D.P. Swaney, G. </w:t>
      </w:r>
      <w:proofErr w:type="spellStart"/>
      <w:r w:rsidRPr="009C3F8D">
        <w:rPr>
          <w:rFonts w:hAnsi="Calibri"/>
          <w:color w:val="000000" w:themeColor="text1"/>
          <w:kern w:val="24"/>
          <w:sz w:val="28"/>
          <w:szCs w:val="28"/>
        </w:rPr>
        <w:t>Billen</w:t>
      </w:r>
      <w:proofErr w:type="spellEnd"/>
      <w:r w:rsidRPr="009C3F8D">
        <w:rPr>
          <w:rFonts w:hAnsi="Calibri"/>
          <w:color w:val="000000" w:themeColor="text1"/>
          <w:kern w:val="24"/>
          <w:sz w:val="28"/>
          <w:szCs w:val="28"/>
        </w:rPr>
        <w:t xml:space="preserve">, J. Garnier, B. Hong, C. Humborg, P. </w:t>
      </w:r>
      <w:proofErr w:type="spellStart"/>
      <w:r w:rsidRPr="009C3F8D">
        <w:rPr>
          <w:rFonts w:hAnsi="Calibri"/>
          <w:color w:val="000000" w:themeColor="text1"/>
          <w:kern w:val="24"/>
          <w:sz w:val="28"/>
          <w:szCs w:val="28"/>
        </w:rPr>
        <w:t>Johnes</w:t>
      </w:r>
      <w:proofErr w:type="spellEnd"/>
      <w:r w:rsidRPr="009C3F8D">
        <w:rPr>
          <w:rFonts w:hAnsi="Calibri"/>
          <w:color w:val="000000" w:themeColor="text1"/>
          <w:kern w:val="24"/>
          <w:sz w:val="28"/>
          <w:szCs w:val="28"/>
        </w:rPr>
        <w:t>, C.-M. Mörth, and R.M. Marino. 2012. Nitrogen fluxes from large watersheds to coastal ecosystems controlled by net anthropogenic N inputs and climate. Frontiers in Ecology and the Environment. 10:37–4</w:t>
      </w:r>
    </w:p>
    <w:p w14:paraId="26E24786" w14:textId="2838467C" w:rsidR="00093C2C" w:rsidRDefault="00093C2C" w:rsidP="007D3D35">
      <w:pPr>
        <w:rPr>
          <w:rFonts w:hAnsi="Calibri"/>
          <w:color w:val="000000" w:themeColor="text1"/>
          <w:kern w:val="24"/>
          <w:sz w:val="28"/>
          <w:szCs w:val="28"/>
        </w:rPr>
      </w:pPr>
      <w:r>
        <w:rPr>
          <w:rFonts w:hAnsi="Calibri"/>
          <w:color w:val="000000" w:themeColor="text1"/>
          <w:kern w:val="24"/>
          <w:sz w:val="28"/>
          <w:szCs w:val="28"/>
        </w:rPr>
        <w:t xml:space="preserve">[9] United States Census Bureau.  2026. </w:t>
      </w:r>
      <w:r w:rsidRPr="00093C2C">
        <w:rPr>
          <w:rFonts w:hAnsi="Calibri"/>
          <w:color w:val="000000" w:themeColor="text1"/>
          <w:kern w:val="24"/>
          <w:sz w:val="28"/>
          <w:szCs w:val="28"/>
        </w:rPr>
        <w:t>County Population Totals and Components of Change: 2020-2025</w:t>
      </w:r>
      <w:r>
        <w:rPr>
          <w:rFonts w:hAnsi="Calibri"/>
          <w:color w:val="000000" w:themeColor="text1"/>
          <w:kern w:val="24"/>
          <w:sz w:val="28"/>
          <w:szCs w:val="28"/>
        </w:rPr>
        <w:t xml:space="preserve"> </w:t>
      </w:r>
      <w:hyperlink r:id="rId6" w:history="1">
        <w:r w:rsidRPr="00D74982">
          <w:rPr>
            <w:rStyle w:val="Hyperlink"/>
            <w:rFonts w:hAnsi="Calibri"/>
            <w:kern w:val="24"/>
            <w:sz w:val="28"/>
            <w:szCs w:val="28"/>
          </w:rPr>
          <w:t>https://www.census.gov/data/tables/time-series/demo/popest/2020s-counties-total.html</w:t>
        </w:r>
      </w:hyperlink>
      <w:r>
        <w:rPr>
          <w:rFonts w:hAnsi="Calibri"/>
          <w:color w:val="000000" w:themeColor="text1"/>
          <w:kern w:val="24"/>
          <w:sz w:val="28"/>
          <w:szCs w:val="28"/>
        </w:rPr>
        <w:t xml:space="preserve"> </w:t>
      </w:r>
    </w:p>
    <w:p w14:paraId="29113176" w14:textId="5B45FC06" w:rsidR="005D30CF" w:rsidRPr="007D3D35" w:rsidRDefault="007D3D35" w:rsidP="007D3D35">
      <w:pPr>
        <w:rPr>
          <w:rFonts w:hAnsi="Calibri"/>
          <w:color w:val="000000" w:themeColor="text1"/>
          <w:kern w:val="24"/>
          <w:sz w:val="28"/>
          <w:szCs w:val="28"/>
        </w:rPr>
      </w:pPr>
      <w:r w:rsidRPr="009C3F8D">
        <w:rPr>
          <w:rFonts w:hAnsi="Calibri"/>
          <w:color w:val="000000" w:themeColor="text1"/>
          <w:kern w:val="24"/>
          <w:sz w:val="28"/>
          <w:szCs w:val="28"/>
        </w:rPr>
        <w:lastRenderedPageBreak/>
        <w:t>[</w:t>
      </w:r>
      <w:r w:rsidR="00F50866">
        <w:rPr>
          <w:rFonts w:hAnsi="Calibri"/>
          <w:color w:val="000000" w:themeColor="text1"/>
          <w:kern w:val="24"/>
          <w:sz w:val="28"/>
          <w:szCs w:val="28"/>
        </w:rPr>
        <w:t>10</w:t>
      </w:r>
      <w:r w:rsidRPr="007D3D35">
        <w:rPr>
          <w:rFonts w:hAnsi="Calibri"/>
          <w:color w:val="000000" w:themeColor="text1"/>
          <w:kern w:val="24"/>
          <w:sz w:val="28"/>
          <w:szCs w:val="28"/>
        </w:rPr>
        <w:t xml:space="preserve">] NASS, USDA., 2021. Quick stats. United States Department of Agriculture, National Agricultural Statistics Service. (https://quickstats.nass.usda.gov/) </w:t>
      </w:r>
    </w:p>
    <w:p w14:paraId="6CE75CB3" w14:textId="7FCE8D5A" w:rsidR="007D3D35" w:rsidRDefault="007D3D35" w:rsidP="007D3D35">
      <w:pPr>
        <w:rPr>
          <w:rFonts w:hAnsi="Calibri"/>
          <w:color w:val="000000" w:themeColor="text1"/>
          <w:kern w:val="24"/>
          <w:sz w:val="28"/>
          <w:szCs w:val="28"/>
        </w:rPr>
      </w:pPr>
      <w:r w:rsidRPr="007D3D35">
        <w:rPr>
          <w:rFonts w:hAnsi="Calibri"/>
          <w:color w:val="000000" w:themeColor="text1"/>
          <w:kern w:val="24"/>
          <w:sz w:val="28"/>
          <w:szCs w:val="28"/>
        </w:rPr>
        <w:t>[</w:t>
      </w:r>
      <w:r w:rsidR="0019622A">
        <w:rPr>
          <w:rFonts w:hAnsi="Calibri"/>
          <w:color w:val="000000" w:themeColor="text1"/>
          <w:kern w:val="24"/>
          <w:sz w:val="28"/>
          <w:szCs w:val="28"/>
        </w:rPr>
        <w:t>1</w:t>
      </w:r>
      <w:r w:rsidR="00F50866">
        <w:rPr>
          <w:rFonts w:hAnsi="Calibri"/>
          <w:color w:val="000000" w:themeColor="text1"/>
          <w:kern w:val="24"/>
          <w:sz w:val="28"/>
          <w:szCs w:val="28"/>
        </w:rPr>
        <w:t>1</w:t>
      </w:r>
      <w:r w:rsidRPr="007D3D35">
        <w:rPr>
          <w:rFonts w:hAnsi="Calibri"/>
          <w:color w:val="000000" w:themeColor="text1"/>
          <w:kern w:val="24"/>
          <w:sz w:val="28"/>
          <w:szCs w:val="28"/>
        </w:rPr>
        <w:t xml:space="preserve">] </w:t>
      </w:r>
      <w:proofErr w:type="spellStart"/>
      <w:r w:rsidRPr="007D3D35">
        <w:rPr>
          <w:rFonts w:hAnsi="Calibri"/>
          <w:color w:val="000000" w:themeColor="text1"/>
          <w:kern w:val="24"/>
          <w:sz w:val="28"/>
          <w:szCs w:val="28"/>
        </w:rPr>
        <w:t>Schwede</w:t>
      </w:r>
      <w:proofErr w:type="spellEnd"/>
      <w:r w:rsidRPr="007D3D35">
        <w:rPr>
          <w:rFonts w:hAnsi="Calibri"/>
          <w:color w:val="000000" w:themeColor="text1"/>
          <w:kern w:val="24"/>
          <w:sz w:val="28"/>
          <w:szCs w:val="28"/>
        </w:rPr>
        <w:t>, D.B. and Lear, G.G., 2014. A novel hybrid approach for estimating total deposition in the United States. Atmospheric Environment, 92(0): 207-220.</w:t>
      </w:r>
    </w:p>
    <w:p w14:paraId="42899160" w14:textId="6E5EF492" w:rsidR="00AB77C4" w:rsidRDefault="00AB77C4" w:rsidP="007D3D35">
      <w:pPr>
        <w:rPr>
          <w:rFonts w:hAnsi="Calibri"/>
          <w:color w:val="000000" w:themeColor="text1"/>
          <w:kern w:val="24"/>
          <w:sz w:val="28"/>
          <w:szCs w:val="28"/>
        </w:rPr>
      </w:pPr>
      <w:r>
        <w:rPr>
          <w:rFonts w:hAnsi="Calibri"/>
          <w:color w:val="000000" w:themeColor="text1"/>
          <w:kern w:val="24"/>
          <w:sz w:val="28"/>
          <w:szCs w:val="28"/>
        </w:rPr>
        <w:t>[</w:t>
      </w:r>
      <w:r w:rsidR="0019622A">
        <w:rPr>
          <w:rFonts w:hAnsi="Calibri"/>
          <w:color w:val="000000" w:themeColor="text1"/>
          <w:kern w:val="24"/>
          <w:sz w:val="28"/>
          <w:szCs w:val="28"/>
        </w:rPr>
        <w:t>1</w:t>
      </w:r>
      <w:r w:rsidR="00F50866">
        <w:rPr>
          <w:rFonts w:hAnsi="Calibri"/>
          <w:color w:val="000000" w:themeColor="text1"/>
          <w:kern w:val="24"/>
          <w:sz w:val="28"/>
          <w:szCs w:val="28"/>
        </w:rPr>
        <w:t>2</w:t>
      </w:r>
      <w:r>
        <w:rPr>
          <w:rFonts w:hAnsi="Calibri"/>
          <w:color w:val="000000" w:themeColor="text1"/>
          <w:kern w:val="24"/>
          <w:sz w:val="28"/>
          <w:szCs w:val="28"/>
        </w:rPr>
        <w:t xml:space="preserve">] </w:t>
      </w:r>
      <w:r w:rsidRPr="00AB77C4">
        <w:rPr>
          <w:rFonts w:hAnsi="Calibri"/>
          <w:color w:val="000000" w:themeColor="text1"/>
          <w:kern w:val="24"/>
          <w:sz w:val="28"/>
          <w:szCs w:val="28"/>
        </w:rPr>
        <w:t xml:space="preserve">Zhang, Y., Foley, K. M., </w:t>
      </w:r>
      <w:proofErr w:type="spellStart"/>
      <w:r w:rsidRPr="00AB77C4">
        <w:rPr>
          <w:rFonts w:hAnsi="Calibri"/>
          <w:color w:val="000000" w:themeColor="text1"/>
          <w:kern w:val="24"/>
          <w:sz w:val="28"/>
          <w:szCs w:val="28"/>
        </w:rPr>
        <w:t>Schwede</w:t>
      </w:r>
      <w:proofErr w:type="spellEnd"/>
      <w:r w:rsidRPr="00AB77C4">
        <w:rPr>
          <w:rFonts w:hAnsi="Calibri"/>
          <w:color w:val="000000" w:themeColor="text1"/>
          <w:kern w:val="24"/>
          <w:sz w:val="28"/>
          <w:szCs w:val="28"/>
        </w:rPr>
        <w:t>, D. B., Bash, J. O., Pinto, J. P., &amp; Dennis, R. L. 2019. A Measurement-Model Fusion Approach for Improved Wet Deposition Maps and Trends. Journal of Geophysical Research: Atmospheres, 124(7), 4237-4251.</w:t>
      </w:r>
    </w:p>
    <w:p w14:paraId="3887E47A" w14:textId="738E8532" w:rsidR="005E3D7E" w:rsidRDefault="005E3D7E" w:rsidP="005E3D7E">
      <w:pPr>
        <w:spacing w:after="120"/>
        <w:rPr>
          <w:rFonts w:hAnsi="Calibri"/>
          <w:color w:val="000000" w:themeColor="text1"/>
          <w:kern w:val="24"/>
          <w:sz w:val="28"/>
          <w:szCs w:val="28"/>
        </w:rPr>
      </w:pPr>
      <w:r>
        <w:rPr>
          <w:rFonts w:hAnsi="Calibri"/>
          <w:color w:val="000000" w:themeColor="text1"/>
          <w:kern w:val="24"/>
          <w:sz w:val="28"/>
          <w:szCs w:val="28"/>
        </w:rPr>
        <w:t>[1</w:t>
      </w:r>
      <w:r w:rsidR="00F50866">
        <w:rPr>
          <w:rFonts w:hAnsi="Calibri"/>
          <w:color w:val="000000" w:themeColor="text1"/>
          <w:kern w:val="24"/>
          <w:sz w:val="28"/>
          <w:szCs w:val="28"/>
        </w:rPr>
        <w:t>3</w:t>
      </w:r>
      <w:r>
        <w:rPr>
          <w:rFonts w:hAnsi="Calibri"/>
          <w:color w:val="000000" w:themeColor="text1"/>
          <w:kern w:val="24"/>
          <w:sz w:val="28"/>
          <w:szCs w:val="28"/>
        </w:rPr>
        <w:t xml:space="preserve">] </w:t>
      </w:r>
      <w:r w:rsidRPr="001103C6">
        <w:rPr>
          <w:rFonts w:hAnsi="Calibri"/>
          <w:color w:val="000000" w:themeColor="text1"/>
          <w:kern w:val="24"/>
          <w:sz w:val="28"/>
          <w:szCs w:val="28"/>
        </w:rPr>
        <w:t>National Atmospheric Deposition Program, 2023. Total Deposition Maps, version 2023.01.</w:t>
      </w:r>
      <w:r>
        <w:rPr>
          <w:rFonts w:hAnsi="Calibri"/>
          <w:color w:val="000000" w:themeColor="text1"/>
          <w:kern w:val="24"/>
          <w:sz w:val="28"/>
          <w:szCs w:val="28"/>
        </w:rPr>
        <w:t xml:space="preserve"> </w:t>
      </w:r>
      <w:r w:rsidRPr="001103C6">
        <w:rPr>
          <w:rFonts w:hAnsi="Calibri"/>
          <w:color w:val="000000" w:themeColor="text1"/>
          <w:kern w:val="24"/>
          <w:sz w:val="28"/>
          <w:szCs w:val="28"/>
        </w:rPr>
        <w:t xml:space="preserve">https://nadp.slh.wisc.edu/committees/tdep/ </w:t>
      </w:r>
      <w:r>
        <w:rPr>
          <w:rFonts w:hAnsi="Calibri"/>
          <w:color w:val="000000" w:themeColor="text1"/>
          <w:kern w:val="24"/>
          <w:sz w:val="28"/>
          <w:szCs w:val="28"/>
        </w:rPr>
        <w:t>(accessed May 31, 2024)</w:t>
      </w:r>
    </w:p>
    <w:p w14:paraId="3B31E5F9" w14:textId="2C1813F6" w:rsidR="005E3D7E" w:rsidRDefault="005E3D7E" w:rsidP="00CE4F1F">
      <w:pPr>
        <w:spacing w:after="0"/>
        <w:rPr>
          <w:rStyle w:val="Hyperlink"/>
          <w:rFonts w:hAnsi="Calibri"/>
          <w:kern w:val="24"/>
          <w:sz w:val="28"/>
          <w:szCs w:val="28"/>
        </w:rPr>
      </w:pPr>
      <w:r>
        <w:rPr>
          <w:rFonts w:hAnsi="Calibri"/>
          <w:color w:val="000000" w:themeColor="text1"/>
          <w:kern w:val="24"/>
          <w:sz w:val="28"/>
          <w:szCs w:val="28"/>
        </w:rPr>
        <w:t>[1</w:t>
      </w:r>
      <w:r w:rsidR="00F50866">
        <w:rPr>
          <w:rFonts w:hAnsi="Calibri"/>
          <w:color w:val="000000" w:themeColor="text1"/>
          <w:kern w:val="24"/>
          <w:sz w:val="28"/>
          <w:szCs w:val="28"/>
        </w:rPr>
        <w:t>4</w:t>
      </w:r>
      <w:r>
        <w:rPr>
          <w:rFonts w:hAnsi="Calibri"/>
          <w:color w:val="000000" w:themeColor="text1"/>
          <w:kern w:val="24"/>
          <w:sz w:val="28"/>
          <w:szCs w:val="28"/>
        </w:rPr>
        <w:t xml:space="preserve">] </w:t>
      </w:r>
      <w:r w:rsidRPr="001103C6">
        <w:rPr>
          <w:rFonts w:hAnsi="Calibri"/>
          <w:color w:val="000000" w:themeColor="text1"/>
          <w:kern w:val="24"/>
          <w:sz w:val="28"/>
          <w:szCs w:val="28"/>
        </w:rPr>
        <w:t xml:space="preserve">Appel, K.W., Bash, J.O., Fahey, K.M., Foley, K.M., Gilliam, R.C., </w:t>
      </w:r>
      <w:proofErr w:type="spellStart"/>
      <w:r w:rsidRPr="001103C6">
        <w:rPr>
          <w:rFonts w:hAnsi="Calibri"/>
          <w:color w:val="000000" w:themeColor="text1"/>
          <w:kern w:val="24"/>
          <w:sz w:val="28"/>
          <w:szCs w:val="28"/>
        </w:rPr>
        <w:t>Hogrefe</w:t>
      </w:r>
      <w:proofErr w:type="spellEnd"/>
      <w:r w:rsidRPr="001103C6">
        <w:rPr>
          <w:rFonts w:hAnsi="Calibri"/>
          <w:color w:val="000000" w:themeColor="text1"/>
          <w:kern w:val="24"/>
          <w:sz w:val="28"/>
          <w:szCs w:val="28"/>
        </w:rPr>
        <w:t xml:space="preserve">, C., </w:t>
      </w:r>
      <w:proofErr w:type="spellStart"/>
      <w:r w:rsidRPr="001103C6">
        <w:rPr>
          <w:rFonts w:hAnsi="Calibri"/>
          <w:color w:val="000000" w:themeColor="text1"/>
          <w:kern w:val="24"/>
          <w:sz w:val="28"/>
          <w:szCs w:val="28"/>
        </w:rPr>
        <w:t>Hutzell</w:t>
      </w:r>
      <w:proofErr w:type="spellEnd"/>
      <w:r w:rsidRPr="001103C6">
        <w:rPr>
          <w:rFonts w:hAnsi="Calibri"/>
          <w:color w:val="000000" w:themeColor="text1"/>
          <w:kern w:val="24"/>
          <w:sz w:val="28"/>
          <w:szCs w:val="28"/>
        </w:rPr>
        <w:t xml:space="preserve">, W.T., Kang, D., Mathur, R., Murphy, B.N., </w:t>
      </w:r>
      <w:proofErr w:type="spellStart"/>
      <w:r w:rsidRPr="001103C6">
        <w:rPr>
          <w:rFonts w:hAnsi="Calibri"/>
          <w:color w:val="000000" w:themeColor="text1"/>
          <w:kern w:val="24"/>
          <w:sz w:val="28"/>
          <w:szCs w:val="28"/>
        </w:rPr>
        <w:t>Napelenok</w:t>
      </w:r>
      <w:proofErr w:type="spellEnd"/>
      <w:r w:rsidRPr="001103C6">
        <w:rPr>
          <w:rFonts w:hAnsi="Calibri"/>
          <w:color w:val="000000" w:themeColor="text1"/>
          <w:kern w:val="24"/>
          <w:sz w:val="28"/>
          <w:szCs w:val="28"/>
        </w:rPr>
        <w:t xml:space="preserve">, S.L., Nolte, C.G., </w:t>
      </w:r>
      <w:proofErr w:type="spellStart"/>
      <w:r w:rsidRPr="001103C6">
        <w:rPr>
          <w:rFonts w:hAnsi="Calibri"/>
          <w:color w:val="000000" w:themeColor="text1"/>
          <w:kern w:val="24"/>
          <w:sz w:val="28"/>
          <w:szCs w:val="28"/>
        </w:rPr>
        <w:t>Pleim</w:t>
      </w:r>
      <w:proofErr w:type="spellEnd"/>
      <w:r w:rsidRPr="001103C6">
        <w:rPr>
          <w:rFonts w:hAnsi="Calibri"/>
          <w:color w:val="000000" w:themeColor="text1"/>
          <w:kern w:val="24"/>
          <w:sz w:val="28"/>
          <w:szCs w:val="28"/>
        </w:rPr>
        <w:t xml:space="preserve">, J. E., </w:t>
      </w:r>
      <w:proofErr w:type="spellStart"/>
      <w:r w:rsidRPr="001103C6">
        <w:rPr>
          <w:rFonts w:hAnsi="Calibri"/>
          <w:color w:val="000000" w:themeColor="text1"/>
          <w:kern w:val="24"/>
          <w:sz w:val="28"/>
          <w:szCs w:val="28"/>
        </w:rPr>
        <w:t>Pouliot</w:t>
      </w:r>
      <w:proofErr w:type="spellEnd"/>
      <w:r w:rsidRPr="001103C6">
        <w:rPr>
          <w:rFonts w:hAnsi="Calibri"/>
          <w:color w:val="000000" w:themeColor="text1"/>
          <w:kern w:val="24"/>
          <w:sz w:val="28"/>
          <w:szCs w:val="28"/>
        </w:rPr>
        <w:t xml:space="preserve">, G.A., </w:t>
      </w:r>
      <w:proofErr w:type="spellStart"/>
      <w:r w:rsidRPr="001103C6">
        <w:rPr>
          <w:rFonts w:hAnsi="Calibri"/>
          <w:color w:val="000000" w:themeColor="text1"/>
          <w:kern w:val="24"/>
          <w:sz w:val="28"/>
          <w:szCs w:val="28"/>
        </w:rPr>
        <w:t>Pye</w:t>
      </w:r>
      <w:proofErr w:type="spellEnd"/>
      <w:r w:rsidRPr="001103C6">
        <w:rPr>
          <w:rFonts w:hAnsi="Calibri"/>
          <w:color w:val="000000" w:themeColor="text1"/>
          <w:kern w:val="24"/>
          <w:sz w:val="28"/>
          <w:szCs w:val="28"/>
        </w:rPr>
        <w:t xml:space="preserve">, H.O.T., Ran, L., Roselle, S.J., Sarwar, G., </w:t>
      </w:r>
      <w:proofErr w:type="spellStart"/>
      <w:r w:rsidRPr="001103C6">
        <w:rPr>
          <w:rFonts w:hAnsi="Calibri"/>
          <w:color w:val="000000" w:themeColor="text1"/>
          <w:kern w:val="24"/>
          <w:sz w:val="28"/>
          <w:szCs w:val="28"/>
        </w:rPr>
        <w:t>Schwede</w:t>
      </w:r>
      <w:proofErr w:type="spellEnd"/>
      <w:r w:rsidRPr="001103C6">
        <w:rPr>
          <w:rFonts w:hAnsi="Calibri"/>
          <w:color w:val="000000" w:themeColor="text1"/>
          <w:kern w:val="24"/>
          <w:sz w:val="28"/>
          <w:szCs w:val="28"/>
        </w:rPr>
        <w:t xml:space="preserve">, D.B., Sidi, F.I., Spero, T.L., Wong, D.C. 2021. The Community Multiscale Air Quality (CMAQ) model versions 5.3 and 5.3.1: system updates and evaluation. Geoscience Model Development, 14: 29867-2897. </w:t>
      </w:r>
      <w:hyperlink r:id="rId7" w:history="1">
        <w:r w:rsidRPr="00B50776">
          <w:rPr>
            <w:rStyle w:val="Hyperlink"/>
            <w:rFonts w:hAnsi="Calibri"/>
            <w:kern w:val="24"/>
            <w:sz w:val="28"/>
            <w:szCs w:val="28"/>
          </w:rPr>
          <w:t>https://doi.org/10.5194/gmd-14-2867-2021</w:t>
        </w:r>
      </w:hyperlink>
    </w:p>
    <w:p w14:paraId="32C2882E" w14:textId="032DC59B" w:rsidR="00A139DA" w:rsidRDefault="009D1B4A" w:rsidP="00CE4F1F">
      <w:pPr>
        <w:spacing w:after="0"/>
        <w:rPr>
          <w:rFonts w:hAnsi="Calibri"/>
          <w:color w:val="000000" w:themeColor="text1"/>
          <w:kern w:val="24"/>
          <w:sz w:val="28"/>
          <w:szCs w:val="28"/>
        </w:rPr>
      </w:pPr>
      <w:r>
        <w:rPr>
          <w:rFonts w:hAnsi="Calibri"/>
          <w:color w:val="000000" w:themeColor="text1"/>
          <w:kern w:val="24"/>
          <w:sz w:val="28"/>
          <w:szCs w:val="28"/>
        </w:rPr>
        <w:t xml:space="preserve">[15] </w:t>
      </w:r>
      <w:r w:rsidRPr="009D1B4A">
        <w:rPr>
          <w:rFonts w:hAnsi="Calibri"/>
          <w:color w:val="000000" w:themeColor="text1"/>
          <w:kern w:val="24"/>
          <w:sz w:val="28"/>
          <w:szCs w:val="28"/>
        </w:rPr>
        <w:t>Howarth, R.W., Swaney, D.P., Boyer, E.W., Marino, R., Jaworski, N. and Goodale, C., 2006. The influence of climate on average nitrogen export from large watersheds in the Northeastern United States. Biogeochemistry, 79(1), pp.163-186.</w:t>
      </w:r>
    </w:p>
    <w:p w14:paraId="02DC3F75" w14:textId="0E87E78F" w:rsidR="007D3D35" w:rsidRDefault="007D3D35" w:rsidP="007D3D35">
      <w:pPr>
        <w:rPr>
          <w:rFonts w:hAnsi="Calibri"/>
          <w:color w:val="000000" w:themeColor="text1"/>
          <w:kern w:val="24"/>
          <w:sz w:val="28"/>
          <w:szCs w:val="28"/>
        </w:rPr>
      </w:pPr>
      <w:r w:rsidRPr="007D3D35">
        <w:rPr>
          <w:rFonts w:hAnsi="Calibri"/>
          <w:color w:val="000000" w:themeColor="text1"/>
          <w:kern w:val="24"/>
          <w:sz w:val="28"/>
          <w:szCs w:val="28"/>
        </w:rPr>
        <w:t>[</w:t>
      </w:r>
      <w:r w:rsidR="00AB77C4">
        <w:rPr>
          <w:rFonts w:hAnsi="Calibri"/>
          <w:color w:val="000000" w:themeColor="text1"/>
          <w:kern w:val="24"/>
          <w:sz w:val="28"/>
          <w:szCs w:val="28"/>
        </w:rPr>
        <w:t>1</w:t>
      </w:r>
      <w:r w:rsidR="009D1B4A">
        <w:rPr>
          <w:rFonts w:hAnsi="Calibri"/>
          <w:color w:val="000000" w:themeColor="text1"/>
          <w:kern w:val="24"/>
          <w:sz w:val="28"/>
          <w:szCs w:val="28"/>
        </w:rPr>
        <w:t>6</w:t>
      </w:r>
      <w:r w:rsidRPr="007D3D35">
        <w:rPr>
          <w:rFonts w:hAnsi="Calibri"/>
          <w:color w:val="000000" w:themeColor="text1"/>
          <w:kern w:val="24"/>
          <w:sz w:val="28"/>
          <w:szCs w:val="28"/>
        </w:rPr>
        <w:t>] Sinha, E. and Michalak, A.M., 2016. Precipitation dominates interannual variability of riverine nitrogen loading across the continental United States. Environmental science &amp; technology, 50(23), pp.12874-12884.</w:t>
      </w:r>
    </w:p>
    <w:p w14:paraId="055CEA32" w14:textId="1EDFD8C8" w:rsidR="00A81CB2" w:rsidRDefault="00A81CB2" w:rsidP="007D3D35">
      <w:pPr>
        <w:rPr>
          <w:rFonts w:hAnsi="Calibri"/>
          <w:color w:val="000000" w:themeColor="text1"/>
          <w:kern w:val="24"/>
          <w:sz w:val="28"/>
          <w:szCs w:val="28"/>
        </w:rPr>
      </w:pPr>
      <w:r>
        <w:rPr>
          <w:rFonts w:hAnsi="Calibri"/>
          <w:color w:val="000000" w:themeColor="text1"/>
          <w:kern w:val="24"/>
          <w:sz w:val="28"/>
          <w:szCs w:val="28"/>
        </w:rPr>
        <w:t>[1</w:t>
      </w:r>
      <w:r w:rsidR="009D1B4A">
        <w:rPr>
          <w:rFonts w:hAnsi="Calibri"/>
          <w:color w:val="000000" w:themeColor="text1"/>
          <w:kern w:val="24"/>
          <w:sz w:val="28"/>
          <w:szCs w:val="28"/>
        </w:rPr>
        <w:t>7</w:t>
      </w:r>
      <w:r>
        <w:rPr>
          <w:rFonts w:hAnsi="Calibri"/>
          <w:color w:val="000000" w:themeColor="text1"/>
          <w:kern w:val="24"/>
          <w:sz w:val="28"/>
          <w:szCs w:val="28"/>
        </w:rPr>
        <w:t xml:space="preserve">] </w:t>
      </w:r>
      <w:proofErr w:type="spellStart"/>
      <w:r w:rsidRPr="00A81CB2">
        <w:rPr>
          <w:rFonts w:hAnsi="Calibri"/>
          <w:color w:val="000000" w:themeColor="text1"/>
          <w:kern w:val="24"/>
          <w:sz w:val="28"/>
          <w:szCs w:val="28"/>
        </w:rPr>
        <w:t>McCrackin</w:t>
      </w:r>
      <w:proofErr w:type="spellEnd"/>
      <w:r w:rsidRPr="00A81CB2">
        <w:rPr>
          <w:rFonts w:hAnsi="Calibri"/>
          <w:color w:val="000000" w:themeColor="text1"/>
          <w:kern w:val="24"/>
          <w:sz w:val="28"/>
          <w:szCs w:val="28"/>
        </w:rPr>
        <w:t>, M.L., Muller‐</w:t>
      </w:r>
      <w:proofErr w:type="spellStart"/>
      <w:r w:rsidRPr="00A81CB2">
        <w:rPr>
          <w:rFonts w:hAnsi="Calibri"/>
          <w:color w:val="000000" w:themeColor="text1"/>
          <w:kern w:val="24"/>
          <w:sz w:val="28"/>
          <w:szCs w:val="28"/>
        </w:rPr>
        <w:t>Karulis</w:t>
      </w:r>
      <w:proofErr w:type="spellEnd"/>
      <w:r w:rsidRPr="00A81CB2">
        <w:rPr>
          <w:rFonts w:hAnsi="Calibri"/>
          <w:color w:val="000000" w:themeColor="text1"/>
          <w:kern w:val="24"/>
          <w:sz w:val="28"/>
          <w:szCs w:val="28"/>
        </w:rPr>
        <w:t>, B., Gustafsson, B.G., Howarth, R.W., Humborg, C., Svanbäck, A. and Swaney, D.P., 2018. A century of legacy phosphorus dynamics in a large drainage basin. Global Biogeochemical Cycles, 32(7), pp.1107-1122.</w:t>
      </w:r>
    </w:p>
    <w:p w14:paraId="574A517B" w14:textId="7B2DA99C" w:rsidR="00A81CB2" w:rsidRPr="007D3D35" w:rsidRDefault="00A81CB2" w:rsidP="007D3D35">
      <w:pPr>
        <w:rPr>
          <w:rFonts w:hAnsi="Calibri"/>
          <w:color w:val="000000" w:themeColor="text1"/>
          <w:kern w:val="24"/>
          <w:sz w:val="28"/>
          <w:szCs w:val="28"/>
        </w:rPr>
      </w:pPr>
      <w:r>
        <w:rPr>
          <w:rFonts w:hAnsi="Calibri"/>
          <w:color w:val="000000" w:themeColor="text1"/>
          <w:kern w:val="24"/>
          <w:sz w:val="28"/>
          <w:szCs w:val="28"/>
        </w:rPr>
        <w:t>[1</w:t>
      </w:r>
      <w:r w:rsidR="009D1B4A">
        <w:rPr>
          <w:rFonts w:hAnsi="Calibri"/>
          <w:color w:val="000000" w:themeColor="text1"/>
          <w:kern w:val="24"/>
          <w:sz w:val="28"/>
          <w:szCs w:val="28"/>
        </w:rPr>
        <w:t>8</w:t>
      </w:r>
      <w:r>
        <w:rPr>
          <w:rFonts w:hAnsi="Calibri"/>
          <w:color w:val="000000" w:themeColor="text1"/>
          <w:kern w:val="24"/>
          <w:sz w:val="28"/>
          <w:szCs w:val="28"/>
        </w:rPr>
        <w:t xml:space="preserve">] </w:t>
      </w:r>
      <w:r w:rsidRPr="00A81CB2">
        <w:rPr>
          <w:rFonts w:hAnsi="Calibri"/>
          <w:color w:val="000000" w:themeColor="text1"/>
          <w:kern w:val="24"/>
          <w:sz w:val="28"/>
          <w:szCs w:val="28"/>
        </w:rPr>
        <w:t xml:space="preserve">Van Meter, K.J., Basu, N.B. and Van </w:t>
      </w:r>
      <w:proofErr w:type="spellStart"/>
      <w:r w:rsidRPr="00A81CB2">
        <w:rPr>
          <w:rFonts w:hAnsi="Calibri"/>
          <w:color w:val="000000" w:themeColor="text1"/>
          <w:kern w:val="24"/>
          <w:sz w:val="28"/>
          <w:szCs w:val="28"/>
        </w:rPr>
        <w:t>Cappellen</w:t>
      </w:r>
      <w:proofErr w:type="spellEnd"/>
      <w:r w:rsidRPr="00A81CB2">
        <w:rPr>
          <w:rFonts w:hAnsi="Calibri"/>
          <w:color w:val="000000" w:themeColor="text1"/>
          <w:kern w:val="24"/>
          <w:sz w:val="28"/>
          <w:szCs w:val="28"/>
        </w:rPr>
        <w:t>, P., 2017. Two centuries of nitrogen dynamics: Legacy sources and sinks in the Mississippi and Susquehanna River Basins. Global Biogeochemical Cycles, 31(1), pp.2-23.</w:t>
      </w:r>
    </w:p>
    <w:p w14:paraId="567B2BDE" w14:textId="61AB6F77" w:rsidR="007D3D35" w:rsidRPr="007D3D35" w:rsidRDefault="007D3D35" w:rsidP="007D3D35">
      <w:pPr>
        <w:rPr>
          <w:rFonts w:hAnsi="Calibri"/>
          <w:color w:val="000000" w:themeColor="text1"/>
          <w:kern w:val="24"/>
          <w:sz w:val="28"/>
          <w:szCs w:val="28"/>
        </w:rPr>
      </w:pPr>
      <w:r w:rsidRPr="007D3D35">
        <w:rPr>
          <w:rFonts w:hAnsi="Calibri"/>
          <w:color w:val="000000" w:themeColor="text1"/>
          <w:kern w:val="24"/>
          <w:sz w:val="28"/>
          <w:szCs w:val="28"/>
        </w:rPr>
        <w:lastRenderedPageBreak/>
        <w:t>[</w:t>
      </w:r>
      <w:r w:rsidRPr="009C3F8D">
        <w:rPr>
          <w:rFonts w:hAnsi="Calibri"/>
          <w:color w:val="000000" w:themeColor="text1"/>
          <w:kern w:val="24"/>
          <w:sz w:val="28"/>
          <w:szCs w:val="28"/>
        </w:rPr>
        <w:t>1</w:t>
      </w:r>
      <w:r w:rsidR="009D1B4A">
        <w:rPr>
          <w:rFonts w:hAnsi="Calibri"/>
          <w:color w:val="000000" w:themeColor="text1"/>
          <w:kern w:val="24"/>
          <w:sz w:val="28"/>
          <w:szCs w:val="28"/>
        </w:rPr>
        <w:t>9</w:t>
      </w:r>
      <w:r w:rsidRPr="009C3F8D">
        <w:rPr>
          <w:rFonts w:hAnsi="Calibri"/>
          <w:color w:val="000000" w:themeColor="text1"/>
          <w:kern w:val="24"/>
          <w:sz w:val="28"/>
          <w:szCs w:val="28"/>
        </w:rPr>
        <w:t xml:space="preserve">] </w:t>
      </w:r>
      <w:r w:rsidRPr="007D3D35">
        <w:rPr>
          <w:rFonts w:hAnsi="Calibri"/>
          <w:color w:val="000000" w:themeColor="text1"/>
          <w:kern w:val="24"/>
          <w:sz w:val="28"/>
          <w:szCs w:val="28"/>
        </w:rPr>
        <w:t xml:space="preserve">Swaney, D. P., Hong, B., C. </w:t>
      </w:r>
      <w:proofErr w:type="spellStart"/>
      <w:r w:rsidRPr="007D3D35">
        <w:rPr>
          <w:rFonts w:hAnsi="Calibri"/>
          <w:color w:val="000000" w:themeColor="text1"/>
          <w:kern w:val="24"/>
          <w:sz w:val="28"/>
          <w:szCs w:val="28"/>
        </w:rPr>
        <w:t>Ti</w:t>
      </w:r>
      <w:proofErr w:type="spellEnd"/>
      <w:r w:rsidRPr="007D3D35">
        <w:rPr>
          <w:rFonts w:hAnsi="Calibri"/>
          <w:color w:val="000000" w:themeColor="text1"/>
          <w:kern w:val="24"/>
          <w:sz w:val="28"/>
          <w:szCs w:val="28"/>
        </w:rPr>
        <w:t>, R.W. Howarth and C. Humborg. 2012. Net anthropogenic nitrogen inputs to watersheds and riverine N export to coastal waters: a brief overview. Current Opinion in Environmental Sustainability.  4:1-9</w:t>
      </w:r>
    </w:p>
    <w:p w14:paraId="4E4EBE9D" w14:textId="594D940F" w:rsidR="007D3D35" w:rsidRPr="00100EFA" w:rsidRDefault="007D3D35" w:rsidP="007D3D35">
      <w:pPr>
        <w:rPr>
          <w:rFonts w:hAnsi="Calibri"/>
          <w:color w:val="000000" w:themeColor="text1"/>
          <w:kern w:val="24"/>
          <w:sz w:val="28"/>
          <w:szCs w:val="28"/>
        </w:rPr>
      </w:pPr>
      <w:r w:rsidRPr="007D3D35">
        <w:rPr>
          <w:rFonts w:hAnsi="Calibri"/>
          <w:color w:val="000000" w:themeColor="text1"/>
          <w:kern w:val="24"/>
          <w:sz w:val="28"/>
          <w:szCs w:val="28"/>
        </w:rPr>
        <w:t>[</w:t>
      </w:r>
      <w:r w:rsidR="009D1B4A">
        <w:rPr>
          <w:rFonts w:hAnsi="Calibri"/>
          <w:color w:val="000000" w:themeColor="text1"/>
          <w:kern w:val="24"/>
          <w:sz w:val="28"/>
          <w:szCs w:val="28"/>
        </w:rPr>
        <w:t>20</w:t>
      </w:r>
      <w:r w:rsidRPr="007D3D35">
        <w:rPr>
          <w:rFonts w:hAnsi="Calibri"/>
          <w:color w:val="000000" w:themeColor="text1"/>
          <w:kern w:val="24"/>
          <w:sz w:val="28"/>
          <w:szCs w:val="28"/>
        </w:rPr>
        <w:t xml:space="preserve">] Swaney, D.P., Hong, B., Howarth, R.W. 2018. </w:t>
      </w:r>
      <w:r w:rsidRPr="00100EFA">
        <w:rPr>
          <w:rFonts w:hAnsi="Calibri"/>
          <w:color w:val="000000" w:themeColor="text1"/>
          <w:kern w:val="24"/>
          <w:sz w:val="28"/>
          <w:szCs w:val="28"/>
        </w:rPr>
        <w:t xml:space="preserve">NANI/NAPI Calculator Toolbox Version 3.1 Documentation: </w:t>
      </w:r>
      <w:hyperlink r:id="rId8" w:history="1">
        <w:r w:rsidRPr="00100EFA">
          <w:rPr>
            <w:rStyle w:val="Hyperlink"/>
            <w:rFonts w:hAnsi="Calibri"/>
            <w:kern w:val="24"/>
            <w:sz w:val="28"/>
            <w:szCs w:val="28"/>
          </w:rPr>
          <w:t>https://www.research.howarthlab.org/NANI/data/NANI_NAPI_Calculator_Toolbox_Version_3.1_Documentation.pdf</w:t>
        </w:r>
      </w:hyperlink>
      <w:r w:rsidRPr="00100EFA">
        <w:rPr>
          <w:rFonts w:hAnsi="Calibri"/>
          <w:color w:val="000000" w:themeColor="text1"/>
          <w:kern w:val="24"/>
          <w:sz w:val="28"/>
          <w:szCs w:val="28"/>
        </w:rPr>
        <w:t xml:space="preserve">    </w:t>
      </w:r>
    </w:p>
    <w:p w14:paraId="06B2E12D" w14:textId="7EADA395" w:rsidR="007360A7" w:rsidRDefault="007D3D35">
      <w:pPr>
        <w:rPr>
          <w:rFonts w:hAnsi="Calibri"/>
          <w:color w:val="000000" w:themeColor="text1"/>
          <w:kern w:val="24"/>
          <w:sz w:val="28"/>
          <w:szCs w:val="28"/>
        </w:rPr>
      </w:pPr>
      <w:r w:rsidRPr="007D3D35">
        <w:rPr>
          <w:rFonts w:hAnsi="Calibri"/>
          <w:color w:val="000000" w:themeColor="text1"/>
          <w:kern w:val="24"/>
          <w:sz w:val="28"/>
          <w:szCs w:val="28"/>
        </w:rPr>
        <w:t>[</w:t>
      </w:r>
      <w:r w:rsidR="00093C2C">
        <w:rPr>
          <w:rFonts w:hAnsi="Calibri"/>
          <w:color w:val="000000" w:themeColor="text1"/>
          <w:kern w:val="24"/>
          <w:sz w:val="28"/>
          <w:szCs w:val="28"/>
        </w:rPr>
        <w:t>2</w:t>
      </w:r>
      <w:r w:rsidR="009D1B4A">
        <w:rPr>
          <w:rFonts w:hAnsi="Calibri"/>
          <w:color w:val="000000" w:themeColor="text1"/>
          <w:kern w:val="24"/>
          <w:sz w:val="28"/>
          <w:szCs w:val="28"/>
        </w:rPr>
        <w:t>1</w:t>
      </w:r>
      <w:r w:rsidRPr="007D3D35">
        <w:rPr>
          <w:rFonts w:hAnsi="Calibri"/>
          <w:color w:val="000000" w:themeColor="text1"/>
          <w:kern w:val="24"/>
          <w:sz w:val="28"/>
          <w:szCs w:val="28"/>
        </w:rPr>
        <w:t>] Swaney, D.P., Howarth, R.W. and Hong, B., 2018. Nitrogen use efficiency and crop production: Patterns of regional variation in the United States, 1987–2012. Science of The Total Environment, 635, pp.498-511.</w:t>
      </w:r>
    </w:p>
    <w:p w14:paraId="7B73A026" w14:textId="7C4C3404" w:rsidR="00100EFA" w:rsidRDefault="00100EFA">
      <w:pPr>
        <w:rPr>
          <w:rFonts w:hAnsi="Calibri"/>
          <w:color w:val="000000" w:themeColor="text1"/>
          <w:kern w:val="24"/>
          <w:sz w:val="28"/>
          <w:szCs w:val="28"/>
        </w:rPr>
      </w:pPr>
      <w:r>
        <w:rPr>
          <w:rFonts w:hAnsi="Calibri"/>
          <w:color w:val="000000" w:themeColor="text1"/>
          <w:kern w:val="24"/>
          <w:sz w:val="28"/>
          <w:szCs w:val="28"/>
        </w:rPr>
        <w:t>[</w:t>
      </w:r>
      <w:r w:rsidR="0019622A">
        <w:rPr>
          <w:rFonts w:hAnsi="Calibri"/>
          <w:color w:val="000000" w:themeColor="text1"/>
          <w:kern w:val="24"/>
          <w:sz w:val="28"/>
          <w:szCs w:val="28"/>
        </w:rPr>
        <w:t>2</w:t>
      </w:r>
      <w:r w:rsidR="009D1B4A">
        <w:rPr>
          <w:rFonts w:hAnsi="Calibri"/>
          <w:color w:val="000000" w:themeColor="text1"/>
          <w:kern w:val="24"/>
          <w:sz w:val="28"/>
          <w:szCs w:val="28"/>
        </w:rPr>
        <w:t>2</w:t>
      </w:r>
      <w:r>
        <w:rPr>
          <w:rFonts w:hAnsi="Calibri"/>
          <w:color w:val="000000" w:themeColor="text1"/>
          <w:kern w:val="24"/>
          <w:sz w:val="28"/>
          <w:szCs w:val="28"/>
        </w:rPr>
        <w:t xml:space="preserve">] </w:t>
      </w:r>
      <w:r w:rsidRPr="00100EFA">
        <w:rPr>
          <w:rFonts w:hAnsi="Calibri"/>
          <w:color w:val="000000" w:themeColor="text1"/>
          <w:kern w:val="24"/>
          <w:sz w:val="28"/>
          <w:szCs w:val="28"/>
        </w:rPr>
        <w:t>Swaney, D.P., Howarth, R.W. and Hong, B., 2018. County, Subregional and Regional Nitrogen Data Derived from the Net Anthropogenic Nitrogen Inputs (NANI) Toolbox. Data in Brief.  https://doi.org/10.1016/j.dib.2018.04.098</w:t>
      </w:r>
    </w:p>
    <w:p w14:paraId="507AC3BC" w14:textId="1972CE4D" w:rsidR="009C3F8D" w:rsidRDefault="009C3F8D">
      <w:pPr>
        <w:rPr>
          <w:rFonts w:hAnsi="Calibri"/>
          <w:color w:val="000000" w:themeColor="text1"/>
          <w:kern w:val="24"/>
          <w:sz w:val="28"/>
          <w:szCs w:val="28"/>
        </w:rPr>
      </w:pPr>
      <w:r>
        <w:rPr>
          <w:rFonts w:hAnsi="Calibri"/>
          <w:color w:val="000000" w:themeColor="text1"/>
          <w:kern w:val="24"/>
          <w:sz w:val="28"/>
          <w:szCs w:val="28"/>
        </w:rPr>
        <w:t>[</w:t>
      </w:r>
      <w:r w:rsidR="0019622A">
        <w:rPr>
          <w:rFonts w:hAnsi="Calibri"/>
          <w:color w:val="000000" w:themeColor="text1"/>
          <w:kern w:val="24"/>
          <w:sz w:val="28"/>
          <w:szCs w:val="28"/>
        </w:rPr>
        <w:t>2</w:t>
      </w:r>
      <w:r w:rsidR="009D1B4A">
        <w:rPr>
          <w:rFonts w:hAnsi="Calibri"/>
          <w:color w:val="000000" w:themeColor="text1"/>
          <w:kern w:val="24"/>
          <w:sz w:val="28"/>
          <w:szCs w:val="28"/>
        </w:rPr>
        <w:t>3</w:t>
      </w:r>
      <w:r>
        <w:rPr>
          <w:rFonts w:hAnsi="Calibri"/>
          <w:color w:val="000000" w:themeColor="text1"/>
          <w:kern w:val="24"/>
          <w:sz w:val="28"/>
          <w:szCs w:val="28"/>
        </w:rPr>
        <w:t xml:space="preserve">] </w:t>
      </w:r>
      <w:r w:rsidRPr="009C3F8D">
        <w:rPr>
          <w:rFonts w:hAnsi="Calibri"/>
          <w:color w:val="000000" w:themeColor="text1"/>
          <w:kern w:val="24"/>
          <w:sz w:val="28"/>
          <w:szCs w:val="28"/>
        </w:rPr>
        <w:tab/>
        <w:t xml:space="preserve">Swaney, D.P. and R.W. Howarth. 2019. Phosphorus use efficiency and crop production: Patterns of regional variation in the United States, 1987-2012.  Science of the Total Environment.  685:174–188. </w:t>
      </w:r>
      <w:hyperlink r:id="rId9" w:history="1">
        <w:r w:rsidR="00100EFA" w:rsidRPr="00583B1B">
          <w:rPr>
            <w:rStyle w:val="Hyperlink"/>
            <w:rFonts w:hAnsi="Calibri"/>
            <w:kern w:val="24"/>
            <w:sz w:val="28"/>
            <w:szCs w:val="28"/>
          </w:rPr>
          <w:t>https://doi.org/10.1016/j.scitotenv.2019.05.228</w:t>
        </w:r>
      </w:hyperlink>
      <w:r w:rsidRPr="009C3F8D">
        <w:rPr>
          <w:rFonts w:hAnsi="Calibri"/>
          <w:color w:val="000000" w:themeColor="text1"/>
          <w:kern w:val="24"/>
          <w:sz w:val="28"/>
          <w:szCs w:val="28"/>
        </w:rPr>
        <w:t>.</w:t>
      </w:r>
    </w:p>
    <w:p w14:paraId="1C7ECBB1" w14:textId="7DE2F589" w:rsidR="00100EFA" w:rsidRPr="009C3F8D" w:rsidRDefault="00100EFA">
      <w:pPr>
        <w:rPr>
          <w:rFonts w:hAnsi="Calibri"/>
          <w:color w:val="000000" w:themeColor="text1"/>
          <w:kern w:val="24"/>
          <w:sz w:val="28"/>
          <w:szCs w:val="28"/>
        </w:rPr>
      </w:pPr>
      <w:r>
        <w:rPr>
          <w:rFonts w:hAnsi="Calibri"/>
          <w:color w:val="000000" w:themeColor="text1"/>
          <w:kern w:val="24"/>
          <w:sz w:val="28"/>
          <w:szCs w:val="28"/>
        </w:rPr>
        <w:t>[</w:t>
      </w:r>
      <w:r w:rsidR="005E3D7E">
        <w:rPr>
          <w:rFonts w:hAnsi="Calibri"/>
          <w:color w:val="000000" w:themeColor="text1"/>
          <w:kern w:val="24"/>
          <w:sz w:val="28"/>
          <w:szCs w:val="28"/>
        </w:rPr>
        <w:t>2</w:t>
      </w:r>
      <w:r w:rsidR="009D1B4A">
        <w:rPr>
          <w:rFonts w:hAnsi="Calibri"/>
          <w:color w:val="000000" w:themeColor="text1"/>
          <w:kern w:val="24"/>
          <w:sz w:val="28"/>
          <w:szCs w:val="28"/>
        </w:rPr>
        <w:t>4</w:t>
      </w:r>
      <w:bookmarkStart w:id="0" w:name="_GoBack"/>
      <w:bookmarkEnd w:id="0"/>
      <w:r>
        <w:rPr>
          <w:rFonts w:hAnsi="Calibri"/>
          <w:color w:val="000000" w:themeColor="text1"/>
          <w:kern w:val="24"/>
          <w:sz w:val="28"/>
          <w:szCs w:val="28"/>
        </w:rPr>
        <w:t xml:space="preserve">]  </w:t>
      </w:r>
      <w:r w:rsidRPr="00100EFA">
        <w:rPr>
          <w:rFonts w:hAnsi="Calibri"/>
          <w:color w:val="000000" w:themeColor="text1"/>
          <w:kern w:val="24"/>
          <w:sz w:val="28"/>
          <w:szCs w:val="28"/>
        </w:rPr>
        <w:t>Swaney, D.P. and Howarth, R.W. 2019.  County, Subregional and Regional Phosphorus Data Derived from the Net Anthropogenic Nitrogen/Phosphorus Inputs (NANI/NAPI) Toolbox.  https://doi.org/10.1016/j.dib.2019.104265</w:t>
      </w:r>
    </w:p>
    <w:sectPr w:rsidR="00100EFA" w:rsidRPr="009C3F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D35"/>
    <w:rsid w:val="00027FE4"/>
    <w:rsid w:val="00093C2C"/>
    <w:rsid w:val="00100EFA"/>
    <w:rsid w:val="0019622A"/>
    <w:rsid w:val="001A7AAC"/>
    <w:rsid w:val="002E5918"/>
    <w:rsid w:val="003303D1"/>
    <w:rsid w:val="005543AE"/>
    <w:rsid w:val="005D30CF"/>
    <w:rsid w:val="005E3D7E"/>
    <w:rsid w:val="007360A7"/>
    <w:rsid w:val="007D3D35"/>
    <w:rsid w:val="0094361A"/>
    <w:rsid w:val="009C3F8D"/>
    <w:rsid w:val="009D1B4A"/>
    <w:rsid w:val="00A139DA"/>
    <w:rsid w:val="00A81CB2"/>
    <w:rsid w:val="00AB77C4"/>
    <w:rsid w:val="00B61F0F"/>
    <w:rsid w:val="00CA1A02"/>
    <w:rsid w:val="00CE4F1F"/>
    <w:rsid w:val="00E73520"/>
    <w:rsid w:val="00F05CDC"/>
    <w:rsid w:val="00F50866"/>
    <w:rsid w:val="00FC2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19965"/>
  <w15:chartTrackingRefBased/>
  <w15:docId w15:val="{69DC4AA1-495A-4116-AD7C-92D1FD6DF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3D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3D3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08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8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75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.howarthlab.org/NANI/data/NANI_NAPI_Calculator_Toolbox_Version_3.1_Documentation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5194/gmd-14-2867-202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ensus.gov/data/tables/time-series/demo/popest/2020s-counties-total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epa.gov/nutrientpollution/commercial-fertilizer-purchased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doi.org/10.3133/ofr20201153" TargetMode="External"/><Relationship Id="rId9" Type="http://schemas.openxmlformats.org/officeDocument/2006/relationships/hyperlink" Target="https://doi.org/10.1016/j.scitotenv.2019.05.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1836</TotalTime>
  <Pages>3</Pages>
  <Words>883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Swaney</dc:creator>
  <cp:keywords/>
  <dc:description/>
  <cp:lastModifiedBy>dennis-dell</cp:lastModifiedBy>
  <cp:revision>5</cp:revision>
  <cp:lastPrinted>2026-05-09T17:33:00Z</cp:lastPrinted>
  <dcterms:created xsi:type="dcterms:W3CDTF">2026-05-09T16:43:00Z</dcterms:created>
  <dcterms:modified xsi:type="dcterms:W3CDTF">2026-05-10T23:20:00Z</dcterms:modified>
</cp:coreProperties>
</file>